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</w:t>
      </w:r>
      <w:bookmarkEnd w:id="1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2" w:name="_Toc2"/>
      <w:r>
        <w:t>Curve</w:t>
      </w:r>
      <w:bookmarkEnd w:id="2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3" w:name="_Toc3"/>
      <w:r>
        <w:t>Line</w:t>
      </w:r>
      <w:bookmarkEnd w:id="3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4" w:name="_Toc4"/>
      <w:r>
        <w:t>Polyline</w:t>
      </w:r>
      <w:bookmarkEnd w:id="4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5" w:name="_Toc5"/>
      <w:r>
        <w:t>Rectangle</w:t>
      </w:r>
      <w:bookmarkEnd w:id="5"/>
    </w:p>
    <w:p>
      <w:r>
        <w:pict>
          <v:roundrect arcsize="0.2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6" w:name="_Toc6"/>
      <w:r>
        <w:t>Oval</w:t>
      </w:r>
      <w:bookmarkEnd w:id="6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2025-12-10T07:46:02+00:00</dcterms:created>
  <dcterms:modified xsi:type="dcterms:W3CDTF">2025-12-10T07:46:02+00:00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